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F5D5D" w14:textId="0E551F41" w:rsidR="006742A6" w:rsidRPr="00336583" w:rsidRDefault="006742A6" w:rsidP="006742A6">
      <w:pPr>
        <w:rPr>
          <w:rFonts w:ascii="Lato" w:hAnsi="Lato"/>
          <w:sz w:val="18"/>
          <w:szCs w:val="20"/>
        </w:rPr>
      </w:pPr>
      <w:r w:rsidRPr="00336583">
        <w:rPr>
          <w:rFonts w:ascii="Lato" w:hAnsi="Lato"/>
          <w:sz w:val="18"/>
          <w:szCs w:val="20"/>
        </w:rPr>
        <w:t xml:space="preserve">Press release </w:t>
      </w:r>
      <w:r w:rsidR="00C40813">
        <w:rPr>
          <w:rFonts w:ascii="Lato" w:hAnsi="Lato"/>
          <w:sz w:val="18"/>
          <w:szCs w:val="20"/>
        </w:rPr>
        <w:t>08</w:t>
      </w:r>
      <w:r w:rsidRPr="00336583">
        <w:rPr>
          <w:rFonts w:ascii="Lato" w:hAnsi="Lato"/>
          <w:sz w:val="18"/>
          <w:szCs w:val="20"/>
        </w:rPr>
        <w:t>/</w:t>
      </w:r>
      <w:r w:rsidR="00C40813">
        <w:rPr>
          <w:rFonts w:ascii="Lato" w:hAnsi="Lato"/>
          <w:sz w:val="18"/>
          <w:szCs w:val="20"/>
        </w:rPr>
        <w:t>07</w:t>
      </w:r>
      <w:r w:rsidRPr="00336583">
        <w:rPr>
          <w:rFonts w:ascii="Lato" w:hAnsi="Lato"/>
          <w:sz w:val="18"/>
          <w:szCs w:val="20"/>
        </w:rPr>
        <w:t>/2021</w:t>
      </w:r>
    </w:p>
    <w:p w14:paraId="2518C1B7" w14:textId="77777777" w:rsidR="006742A6" w:rsidRPr="0075673D" w:rsidRDefault="006742A6" w:rsidP="006742A6">
      <w:pPr>
        <w:rPr>
          <w:rFonts w:ascii="Lato" w:hAnsi="Lato"/>
        </w:rPr>
      </w:pPr>
    </w:p>
    <w:p w14:paraId="770D7C38" w14:textId="3AE08C38" w:rsidR="006742A6" w:rsidRDefault="006742A6" w:rsidP="006742A6">
      <w:pPr>
        <w:jc w:val="center"/>
        <w:rPr>
          <w:rFonts w:ascii="Lato Heavy" w:hAnsi="Lato Heavy" w:cs="Times"/>
          <w:sz w:val="28"/>
          <w:szCs w:val="28"/>
        </w:rPr>
      </w:pPr>
      <w:proofErr w:type="spellStart"/>
      <w:r>
        <w:rPr>
          <w:rFonts w:ascii="Lato Heavy" w:hAnsi="Lato Heavy" w:cs="Times"/>
          <w:sz w:val="28"/>
          <w:szCs w:val="28"/>
        </w:rPr>
        <w:t>NetEnt</w:t>
      </w:r>
      <w:proofErr w:type="spellEnd"/>
      <w:r>
        <w:rPr>
          <w:rFonts w:ascii="Lato Heavy" w:hAnsi="Lato Heavy" w:cs="Times"/>
          <w:sz w:val="28"/>
          <w:szCs w:val="28"/>
        </w:rPr>
        <w:t xml:space="preserve"> celebrates two wins at this year’s EGR B2B Awards including Mobile Gaming Software Supplier</w:t>
      </w:r>
    </w:p>
    <w:p w14:paraId="1B8FB899" w14:textId="73A98CFC" w:rsidR="006742A6" w:rsidRDefault="006742A6" w:rsidP="006742A6">
      <w:pPr>
        <w:rPr>
          <w:rFonts w:ascii="Lato Heavy" w:hAnsi="Lato Heavy" w:cs="Times"/>
          <w:sz w:val="28"/>
          <w:szCs w:val="28"/>
        </w:rPr>
      </w:pPr>
    </w:p>
    <w:p w14:paraId="4A92A3B8" w14:textId="205F3FB2" w:rsidR="006742A6" w:rsidRPr="006742A6" w:rsidRDefault="006742A6" w:rsidP="006E27F4">
      <w:pPr>
        <w:spacing w:line="276" w:lineRule="auto"/>
        <w:rPr>
          <w:rFonts w:ascii="Lato Heavy" w:hAnsi="Lato Heavy" w:cs="Times"/>
          <w:i/>
          <w:iCs/>
          <w:sz w:val="22"/>
          <w:szCs w:val="21"/>
        </w:rPr>
      </w:pPr>
      <w:r w:rsidRPr="006742A6">
        <w:rPr>
          <w:rFonts w:ascii="Lato Heavy" w:hAnsi="Lato Heavy" w:cs="Times"/>
          <w:i/>
          <w:iCs/>
          <w:sz w:val="22"/>
          <w:szCs w:val="21"/>
        </w:rPr>
        <w:t xml:space="preserve">This year has seen </w:t>
      </w:r>
      <w:proofErr w:type="spellStart"/>
      <w:r w:rsidRPr="006742A6">
        <w:rPr>
          <w:rFonts w:ascii="Lato Heavy" w:hAnsi="Lato Heavy" w:cs="Times"/>
          <w:i/>
          <w:iCs/>
          <w:sz w:val="22"/>
          <w:szCs w:val="21"/>
        </w:rPr>
        <w:t>NetEnt</w:t>
      </w:r>
      <w:proofErr w:type="spellEnd"/>
      <w:r w:rsidRPr="006742A6">
        <w:rPr>
          <w:rFonts w:ascii="Lato Heavy" w:hAnsi="Lato Heavy" w:cs="Times"/>
          <w:i/>
          <w:iCs/>
          <w:sz w:val="22"/>
          <w:szCs w:val="21"/>
        </w:rPr>
        <w:t xml:space="preserve">, recently acquired by Evolution Group, receive two accolades at the EGR B2B Awards. Fredrik </w:t>
      </w:r>
      <w:proofErr w:type="spellStart"/>
      <w:r w:rsidRPr="006742A6">
        <w:rPr>
          <w:rFonts w:ascii="Lato Heavy" w:hAnsi="Lato Heavy" w:cs="Times"/>
          <w:i/>
          <w:iCs/>
          <w:sz w:val="22"/>
          <w:szCs w:val="21"/>
        </w:rPr>
        <w:t>Bjurle</w:t>
      </w:r>
      <w:proofErr w:type="spellEnd"/>
      <w:r w:rsidRPr="006742A6">
        <w:rPr>
          <w:rFonts w:ascii="Lato Heavy" w:hAnsi="Lato Heavy" w:cs="Times"/>
          <w:i/>
          <w:iCs/>
          <w:sz w:val="22"/>
          <w:szCs w:val="21"/>
        </w:rPr>
        <w:t>, Director of Product at Evolution Group accept</w:t>
      </w:r>
      <w:r w:rsidR="000108FC">
        <w:rPr>
          <w:rFonts w:ascii="Lato Heavy" w:hAnsi="Lato Heavy" w:cs="Times"/>
          <w:i/>
          <w:iCs/>
          <w:sz w:val="22"/>
          <w:szCs w:val="21"/>
        </w:rPr>
        <w:t xml:space="preserve">ed the awards on the group’s behalf </w:t>
      </w:r>
      <w:r w:rsidRPr="006742A6">
        <w:rPr>
          <w:rFonts w:ascii="Lato Heavy" w:hAnsi="Lato Heavy" w:cs="Times"/>
          <w:i/>
          <w:iCs/>
          <w:sz w:val="22"/>
          <w:szCs w:val="21"/>
        </w:rPr>
        <w:t>and comment</w:t>
      </w:r>
      <w:r w:rsidR="000108FC">
        <w:rPr>
          <w:rFonts w:ascii="Lato Heavy" w:hAnsi="Lato Heavy" w:cs="Times"/>
          <w:i/>
          <w:iCs/>
          <w:sz w:val="22"/>
          <w:szCs w:val="21"/>
        </w:rPr>
        <w:t>ed</w:t>
      </w:r>
      <w:r w:rsidRPr="006742A6">
        <w:rPr>
          <w:rFonts w:ascii="Lato Heavy" w:hAnsi="Lato Heavy" w:cs="Times"/>
          <w:i/>
          <w:iCs/>
          <w:sz w:val="22"/>
          <w:szCs w:val="21"/>
        </w:rPr>
        <w:t xml:space="preserve"> on </w:t>
      </w:r>
      <w:r>
        <w:rPr>
          <w:rFonts w:ascii="Lato Heavy" w:hAnsi="Lato Heavy" w:cs="Times"/>
          <w:i/>
          <w:iCs/>
          <w:sz w:val="22"/>
          <w:szCs w:val="21"/>
        </w:rPr>
        <w:t xml:space="preserve">what this means for the </w:t>
      </w:r>
      <w:r w:rsidR="006E27F4">
        <w:rPr>
          <w:rFonts w:ascii="Lato Heavy" w:hAnsi="Lato Heavy" w:cs="Times"/>
          <w:i/>
          <w:iCs/>
          <w:sz w:val="22"/>
          <w:szCs w:val="21"/>
        </w:rPr>
        <w:t>brand moving forward.</w:t>
      </w:r>
    </w:p>
    <w:p w14:paraId="3682BDC7" w14:textId="6593B2F4" w:rsidR="006742A6" w:rsidRDefault="006742A6" w:rsidP="006E27F4">
      <w:pPr>
        <w:spacing w:line="276" w:lineRule="auto"/>
        <w:rPr>
          <w:rFonts w:ascii="Lato Heavy" w:hAnsi="Lato Heavy" w:cs="Times"/>
          <w:sz w:val="28"/>
          <w:szCs w:val="28"/>
        </w:rPr>
      </w:pPr>
    </w:p>
    <w:p w14:paraId="6E451A8C" w14:textId="22E1563C" w:rsidR="009A5CCB" w:rsidRDefault="009A5CCB" w:rsidP="006E27F4">
      <w:pPr>
        <w:spacing w:line="276" w:lineRule="auto"/>
        <w:rPr>
          <w:rFonts w:ascii="Lato Heavy" w:hAnsi="Lato Heavy" w:cs="Times"/>
          <w:sz w:val="28"/>
          <w:szCs w:val="28"/>
        </w:rPr>
      </w:pPr>
      <w:r>
        <w:rPr>
          <w:rFonts w:ascii="Lato Heavy" w:hAnsi="Lato Heavy" w:cs="Times"/>
          <w:noProof/>
          <w:sz w:val="28"/>
          <w:szCs w:val="28"/>
        </w:rPr>
        <w:drawing>
          <wp:inline distT="0" distB="0" distL="0" distR="0" wp14:anchorId="39B5F1BF" wp14:editId="0531EEAA">
            <wp:extent cx="5731510" cy="2999740"/>
            <wp:effectExtent l="0" t="0" r="0" b="0"/>
            <wp:docPr id="2" name="Picture 2"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ers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2999740"/>
                    </a:xfrm>
                    <a:prstGeom prst="rect">
                      <a:avLst/>
                    </a:prstGeom>
                  </pic:spPr>
                </pic:pic>
              </a:graphicData>
            </a:graphic>
          </wp:inline>
        </w:drawing>
      </w:r>
    </w:p>
    <w:p w14:paraId="7D3CF1AA" w14:textId="77777777" w:rsidR="009A5CCB" w:rsidRPr="0075673D" w:rsidRDefault="009A5CCB" w:rsidP="006E27F4">
      <w:pPr>
        <w:spacing w:line="276" w:lineRule="auto"/>
        <w:rPr>
          <w:rFonts w:ascii="Lato Heavy" w:hAnsi="Lato Heavy" w:cs="Times"/>
          <w:sz w:val="28"/>
          <w:szCs w:val="28"/>
        </w:rPr>
      </w:pPr>
    </w:p>
    <w:p w14:paraId="0EB8BC66" w14:textId="294CEB7A" w:rsidR="006E27F4" w:rsidRPr="007C6149" w:rsidRDefault="006E27F4" w:rsidP="006E27F4">
      <w:pPr>
        <w:spacing w:line="276" w:lineRule="auto"/>
        <w:rPr>
          <w:rFonts w:ascii="Lato" w:hAnsi="Lato"/>
          <w:sz w:val="20"/>
          <w:szCs w:val="20"/>
        </w:rPr>
      </w:pPr>
      <w:r w:rsidRPr="007C6149">
        <w:rPr>
          <w:rFonts w:ascii="Lato" w:hAnsi="Lato"/>
          <w:sz w:val="20"/>
          <w:szCs w:val="20"/>
        </w:rPr>
        <w:t xml:space="preserve">After two days of virtual ceremonies and a final in-person event in Regent’s Park, London, the EGR B2B Awards saw </w:t>
      </w:r>
      <w:proofErr w:type="spellStart"/>
      <w:r w:rsidRPr="007C6149">
        <w:rPr>
          <w:rFonts w:ascii="Lato" w:hAnsi="Lato"/>
          <w:sz w:val="20"/>
          <w:szCs w:val="20"/>
        </w:rPr>
        <w:t>NetEnt</w:t>
      </w:r>
      <w:proofErr w:type="spellEnd"/>
      <w:r w:rsidRPr="007C6149">
        <w:rPr>
          <w:rFonts w:ascii="Lato" w:hAnsi="Lato"/>
          <w:sz w:val="20"/>
          <w:szCs w:val="20"/>
        </w:rPr>
        <w:t xml:space="preserve"> </w:t>
      </w:r>
      <w:r w:rsidR="003448D5">
        <w:rPr>
          <w:rFonts w:ascii="Lato" w:hAnsi="Lato"/>
          <w:sz w:val="20"/>
          <w:szCs w:val="20"/>
        </w:rPr>
        <w:t>celebrating</w:t>
      </w:r>
      <w:r w:rsidRPr="007C6149">
        <w:rPr>
          <w:rFonts w:ascii="Lato" w:hAnsi="Lato"/>
          <w:sz w:val="20"/>
          <w:szCs w:val="20"/>
        </w:rPr>
        <w:t xml:space="preserve"> two award wins – including Mobile Gaming Software Supplier.</w:t>
      </w:r>
    </w:p>
    <w:p w14:paraId="31AE5946" w14:textId="72197C7D" w:rsidR="00931B7A" w:rsidRDefault="00931B7A" w:rsidP="00931B7A">
      <w:pPr>
        <w:rPr>
          <w:rFonts w:ascii="Lato" w:hAnsi="Lato"/>
          <w:sz w:val="20"/>
          <w:szCs w:val="20"/>
        </w:rPr>
      </w:pPr>
    </w:p>
    <w:p w14:paraId="3EDE8912" w14:textId="56C71F51" w:rsidR="004749AF" w:rsidRPr="007C6149" w:rsidRDefault="004749AF" w:rsidP="004749AF">
      <w:pPr>
        <w:autoSpaceDE w:val="0"/>
        <w:autoSpaceDN w:val="0"/>
        <w:adjustRightInd w:val="0"/>
        <w:spacing w:after="200" w:line="276" w:lineRule="auto"/>
        <w:ind w:right="-720"/>
        <w:rPr>
          <w:rFonts w:ascii="Lato" w:hAnsi="Lato"/>
          <w:sz w:val="20"/>
          <w:szCs w:val="20"/>
        </w:rPr>
      </w:pPr>
      <w:r w:rsidRPr="007C6149">
        <w:rPr>
          <w:rFonts w:ascii="Lato" w:hAnsi="Lato"/>
          <w:sz w:val="20"/>
          <w:szCs w:val="20"/>
        </w:rPr>
        <w:t xml:space="preserve">The </w:t>
      </w:r>
      <w:r>
        <w:rPr>
          <w:rFonts w:ascii="Lato" w:hAnsi="Lato"/>
          <w:sz w:val="20"/>
          <w:szCs w:val="20"/>
        </w:rPr>
        <w:t>first</w:t>
      </w:r>
      <w:r w:rsidRPr="007C6149">
        <w:rPr>
          <w:rFonts w:ascii="Lato" w:hAnsi="Lato"/>
          <w:sz w:val="20"/>
          <w:szCs w:val="20"/>
        </w:rPr>
        <w:t xml:space="preserve"> award focuses on product development, flexibility, the user interface and experience, and innovation. </w:t>
      </w:r>
      <w:proofErr w:type="spellStart"/>
      <w:r w:rsidRPr="007C6149">
        <w:rPr>
          <w:rFonts w:ascii="Lato" w:hAnsi="Lato"/>
          <w:sz w:val="20"/>
          <w:szCs w:val="20"/>
        </w:rPr>
        <w:t>NetEnt</w:t>
      </w:r>
      <w:proofErr w:type="spellEnd"/>
      <w:r w:rsidRPr="007C6149">
        <w:rPr>
          <w:rFonts w:ascii="Lato" w:hAnsi="Lato"/>
          <w:sz w:val="20"/>
          <w:szCs w:val="20"/>
        </w:rPr>
        <w:t xml:space="preserve"> this year walked away as winner of Mobile Gaming Software Supplier, ahead of 13 other suppliers who were vying for the award. The judges commented that the brand had “superb performance throughout the US market specifically”. </w:t>
      </w:r>
    </w:p>
    <w:p w14:paraId="614ECB18" w14:textId="1C1098B4" w:rsidR="00931B7A" w:rsidRPr="007C6149" w:rsidRDefault="00931B7A" w:rsidP="00931B7A">
      <w:pPr>
        <w:autoSpaceDE w:val="0"/>
        <w:autoSpaceDN w:val="0"/>
        <w:adjustRightInd w:val="0"/>
        <w:spacing w:after="200" w:line="276" w:lineRule="auto"/>
        <w:ind w:right="-720"/>
        <w:rPr>
          <w:rFonts w:ascii="Lato" w:hAnsi="Lato"/>
          <w:sz w:val="20"/>
          <w:szCs w:val="20"/>
        </w:rPr>
      </w:pPr>
      <w:r w:rsidRPr="007C6149">
        <w:rPr>
          <w:rFonts w:ascii="Lato" w:hAnsi="Lato"/>
          <w:sz w:val="20"/>
          <w:szCs w:val="20"/>
        </w:rPr>
        <w:t xml:space="preserve">This year </w:t>
      </w:r>
      <w:r w:rsidR="004749AF">
        <w:rPr>
          <w:rFonts w:ascii="Lato" w:hAnsi="Lato"/>
          <w:sz w:val="20"/>
          <w:szCs w:val="20"/>
        </w:rPr>
        <w:t xml:space="preserve">also </w:t>
      </w:r>
      <w:r w:rsidRPr="007C6149">
        <w:rPr>
          <w:rFonts w:ascii="Lato" w:hAnsi="Lato"/>
          <w:sz w:val="20"/>
          <w:szCs w:val="20"/>
        </w:rPr>
        <w:t xml:space="preserve">saw a joint </w:t>
      </w:r>
      <w:r w:rsidR="00B64128">
        <w:rPr>
          <w:rFonts w:ascii="Lato" w:hAnsi="Lato"/>
          <w:sz w:val="20"/>
          <w:szCs w:val="20"/>
        </w:rPr>
        <w:t xml:space="preserve">entry </w:t>
      </w:r>
      <w:r w:rsidRPr="007C6149">
        <w:rPr>
          <w:rFonts w:ascii="Lato" w:hAnsi="Lato"/>
          <w:sz w:val="20"/>
          <w:szCs w:val="20"/>
        </w:rPr>
        <w:t xml:space="preserve">win for </w:t>
      </w:r>
      <w:proofErr w:type="spellStart"/>
      <w:r w:rsidRPr="007C6149">
        <w:rPr>
          <w:rFonts w:ascii="Lato" w:hAnsi="Lato"/>
          <w:sz w:val="20"/>
          <w:szCs w:val="20"/>
        </w:rPr>
        <w:t>NetEnt</w:t>
      </w:r>
      <w:proofErr w:type="spellEnd"/>
      <w:r w:rsidRPr="007C6149">
        <w:rPr>
          <w:rFonts w:ascii="Lato" w:hAnsi="Lato"/>
          <w:sz w:val="20"/>
          <w:szCs w:val="20"/>
        </w:rPr>
        <w:t xml:space="preserve"> and Red Tiger in the Innovation in Slot Provision category, beating 13 other prospective suppliers. In a classification that looks to celebrate product differentiation, user experience, and product development and deliverability judges were impressed by the “fantastic combination of expertise and experience” of the brands. Judges said there were “some hugely successful new launches in a </w:t>
      </w:r>
      <w:r w:rsidRPr="007C6149">
        <w:rPr>
          <w:rFonts w:ascii="Lato" w:hAnsi="Lato"/>
          <w:sz w:val="20"/>
          <w:szCs w:val="20"/>
        </w:rPr>
        <w:lastRenderedPageBreak/>
        <w:t xml:space="preserve">very competitive market”, and the award recognises the collaborative development of </w:t>
      </w:r>
      <w:proofErr w:type="spellStart"/>
      <w:r w:rsidRPr="007C6149">
        <w:rPr>
          <w:rFonts w:ascii="Lato" w:hAnsi="Lato"/>
          <w:sz w:val="20"/>
          <w:szCs w:val="20"/>
        </w:rPr>
        <w:t>Gonzo’s</w:t>
      </w:r>
      <w:proofErr w:type="spellEnd"/>
      <w:r w:rsidRPr="007C6149">
        <w:rPr>
          <w:rFonts w:ascii="Lato" w:hAnsi="Lato"/>
          <w:sz w:val="20"/>
          <w:szCs w:val="20"/>
        </w:rPr>
        <w:t xml:space="preserve"> Quest </w:t>
      </w:r>
      <w:proofErr w:type="spellStart"/>
      <w:r w:rsidRPr="007C6149">
        <w:rPr>
          <w:rFonts w:ascii="Lato" w:hAnsi="Lato"/>
          <w:sz w:val="20"/>
          <w:szCs w:val="20"/>
        </w:rPr>
        <w:t>Megaways</w:t>
      </w:r>
      <w:proofErr w:type="spellEnd"/>
      <w:r w:rsidR="00647B44" w:rsidRPr="007C6149">
        <w:rPr>
          <w:rFonts w:ascii="Helvetica" w:eastAsiaTheme="minorHAnsi" w:hAnsi="Helvetica" w:cs="Helvetica"/>
          <w:sz w:val="20"/>
          <w:szCs w:val="20"/>
          <w:lang w:eastAsia="en-US"/>
        </w:rPr>
        <w:t>™</w:t>
      </w:r>
      <w:r w:rsidRPr="007C6149">
        <w:rPr>
          <w:rFonts w:ascii="Lato" w:hAnsi="Lato"/>
          <w:sz w:val="20"/>
          <w:szCs w:val="20"/>
        </w:rPr>
        <w:t xml:space="preserve">, </w:t>
      </w:r>
      <w:proofErr w:type="spellStart"/>
      <w:r w:rsidRPr="007C6149">
        <w:rPr>
          <w:rFonts w:ascii="Lato" w:hAnsi="Lato"/>
          <w:sz w:val="20"/>
          <w:szCs w:val="20"/>
        </w:rPr>
        <w:t>Kulta-Jaska</w:t>
      </w:r>
      <w:proofErr w:type="spellEnd"/>
      <w:r w:rsidRPr="007C6149">
        <w:rPr>
          <w:rFonts w:ascii="Lato" w:hAnsi="Lato"/>
          <w:sz w:val="20"/>
          <w:szCs w:val="20"/>
        </w:rPr>
        <w:t xml:space="preserve"> </w:t>
      </w:r>
      <w:proofErr w:type="spellStart"/>
      <w:r w:rsidRPr="007C6149">
        <w:rPr>
          <w:rFonts w:ascii="Lato" w:hAnsi="Lato"/>
          <w:sz w:val="20"/>
          <w:szCs w:val="20"/>
        </w:rPr>
        <w:t>Megaways</w:t>
      </w:r>
      <w:proofErr w:type="spellEnd"/>
      <w:r w:rsidR="00647B44" w:rsidRPr="007C6149">
        <w:rPr>
          <w:rFonts w:ascii="Helvetica" w:eastAsiaTheme="minorHAnsi" w:hAnsi="Helvetica" w:cs="Helvetica"/>
          <w:sz w:val="20"/>
          <w:szCs w:val="20"/>
          <w:lang w:eastAsia="en-US"/>
        </w:rPr>
        <w:t>™</w:t>
      </w:r>
      <w:r w:rsidR="00AD5D3A">
        <w:rPr>
          <w:rFonts w:ascii="Helvetica" w:eastAsiaTheme="minorHAnsi" w:hAnsi="Helvetica" w:cs="Helvetica"/>
          <w:sz w:val="20"/>
          <w:szCs w:val="20"/>
          <w:lang w:eastAsia="en-US"/>
        </w:rPr>
        <w:t xml:space="preserve"> </w:t>
      </w:r>
      <w:r w:rsidRPr="007C6149">
        <w:rPr>
          <w:rFonts w:ascii="Lato" w:hAnsi="Lato"/>
          <w:sz w:val="20"/>
          <w:szCs w:val="20"/>
        </w:rPr>
        <w:t xml:space="preserve">and Dragon’s Fire </w:t>
      </w:r>
      <w:r w:rsidR="005E58FC">
        <w:rPr>
          <w:rFonts w:ascii="Lato" w:hAnsi="Lato"/>
          <w:sz w:val="20"/>
          <w:szCs w:val="20"/>
        </w:rPr>
        <w:t>I</w:t>
      </w:r>
      <w:r w:rsidRPr="007C6149">
        <w:rPr>
          <w:rFonts w:ascii="Lato" w:hAnsi="Lato"/>
          <w:sz w:val="20"/>
          <w:szCs w:val="20"/>
        </w:rPr>
        <w:t>NFINIREELS</w:t>
      </w:r>
      <w:r w:rsidR="00647B44" w:rsidRPr="007C6149">
        <w:rPr>
          <w:rFonts w:ascii="Helvetica" w:eastAsiaTheme="minorHAnsi" w:hAnsi="Helvetica" w:cs="Helvetica"/>
          <w:sz w:val="20"/>
          <w:szCs w:val="20"/>
          <w:lang w:eastAsia="en-US"/>
        </w:rPr>
        <w:t>™.</w:t>
      </w:r>
    </w:p>
    <w:p w14:paraId="61AB3DE4" w14:textId="3993588E" w:rsidR="004B219D" w:rsidRPr="007C6149" w:rsidRDefault="004B219D" w:rsidP="00931B7A">
      <w:pPr>
        <w:autoSpaceDE w:val="0"/>
        <w:autoSpaceDN w:val="0"/>
        <w:adjustRightInd w:val="0"/>
        <w:spacing w:after="200" w:line="276" w:lineRule="auto"/>
        <w:ind w:right="-720"/>
        <w:rPr>
          <w:rFonts w:ascii="Helvetica" w:eastAsiaTheme="minorHAnsi" w:hAnsi="Helvetica" w:cs="Helvetica"/>
          <w:sz w:val="20"/>
          <w:szCs w:val="20"/>
          <w:lang w:eastAsia="en-US"/>
        </w:rPr>
      </w:pPr>
      <w:r w:rsidRPr="007C6149">
        <w:rPr>
          <w:rFonts w:ascii="Lato" w:hAnsi="Lato"/>
          <w:sz w:val="20"/>
          <w:szCs w:val="20"/>
        </w:rPr>
        <w:t>Evolution itself was awarded Live Casino Supplier of the Year, beating eight other shortlisted suppliers</w:t>
      </w:r>
      <w:r w:rsidR="000B7D18">
        <w:rPr>
          <w:rFonts w:ascii="Lato" w:hAnsi="Lato"/>
          <w:sz w:val="20"/>
          <w:szCs w:val="20"/>
        </w:rPr>
        <w:t xml:space="preserve"> </w:t>
      </w:r>
      <w:r w:rsidRPr="007C6149">
        <w:rPr>
          <w:rFonts w:ascii="Lato" w:hAnsi="Lato"/>
          <w:sz w:val="20"/>
          <w:szCs w:val="20"/>
        </w:rPr>
        <w:t xml:space="preserve">in an incredible unbroken run of 12 wins in that category, stretching back to when the EGR B2B Awards first launched in 2010. </w:t>
      </w:r>
    </w:p>
    <w:p w14:paraId="6685A2E6" w14:textId="389BDCC2" w:rsidR="0044201B" w:rsidRDefault="006742A6" w:rsidP="006E27F4">
      <w:pPr>
        <w:spacing w:line="276" w:lineRule="auto"/>
        <w:rPr>
          <w:rFonts w:ascii="Lato" w:hAnsi="Lato"/>
          <w:sz w:val="20"/>
          <w:szCs w:val="20"/>
        </w:rPr>
      </w:pPr>
      <w:r w:rsidRPr="007C6149">
        <w:rPr>
          <w:rFonts w:ascii="Lato" w:hAnsi="Lato"/>
          <w:sz w:val="20"/>
          <w:szCs w:val="20"/>
        </w:rPr>
        <w:t xml:space="preserve">Accepting the awards on behalf of Evolution, </w:t>
      </w:r>
      <w:proofErr w:type="spellStart"/>
      <w:r w:rsidRPr="007C6149">
        <w:rPr>
          <w:rFonts w:ascii="Lato" w:hAnsi="Lato"/>
          <w:sz w:val="20"/>
          <w:szCs w:val="20"/>
        </w:rPr>
        <w:t>NetEnt</w:t>
      </w:r>
      <w:proofErr w:type="spellEnd"/>
      <w:r w:rsidRPr="007C6149">
        <w:rPr>
          <w:rFonts w:ascii="Lato" w:hAnsi="Lato"/>
          <w:sz w:val="20"/>
          <w:szCs w:val="20"/>
        </w:rPr>
        <w:t xml:space="preserve"> and Red Tiger, Fredrik </w:t>
      </w:r>
      <w:proofErr w:type="spellStart"/>
      <w:r w:rsidRPr="007C6149">
        <w:rPr>
          <w:rFonts w:ascii="Lato" w:hAnsi="Lato"/>
          <w:sz w:val="20"/>
          <w:szCs w:val="20"/>
        </w:rPr>
        <w:t>Bjurle</w:t>
      </w:r>
      <w:proofErr w:type="spellEnd"/>
      <w:r w:rsidRPr="007C6149">
        <w:rPr>
          <w:rFonts w:ascii="Lato" w:hAnsi="Lato"/>
          <w:sz w:val="20"/>
          <w:szCs w:val="20"/>
        </w:rPr>
        <w:t xml:space="preserve">, Director of Product at Evolution Group, said: “For Evolution Group brands to be voted the top suppliers in so many award categories is a very great honour. </w:t>
      </w:r>
      <w:proofErr w:type="spellStart"/>
      <w:r w:rsidR="00C9177E">
        <w:rPr>
          <w:rFonts w:ascii="Lato" w:hAnsi="Lato"/>
          <w:sz w:val="20"/>
          <w:szCs w:val="20"/>
        </w:rPr>
        <w:t>NetEnt</w:t>
      </w:r>
      <w:proofErr w:type="spellEnd"/>
      <w:r w:rsidR="00C9177E">
        <w:rPr>
          <w:rFonts w:ascii="Lato" w:hAnsi="Lato"/>
          <w:sz w:val="20"/>
          <w:szCs w:val="20"/>
        </w:rPr>
        <w:t xml:space="preserve"> has been a wonderful addition to the Evolution family, bringing years of experience and </w:t>
      </w:r>
      <w:r w:rsidR="008B71C1">
        <w:rPr>
          <w:rFonts w:ascii="Lato" w:hAnsi="Lato"/>
          <w:sz w:val="20"/>
          <w:szCs w:val="20"/>
        </w:rPr>
        <w:t xml:space="preserve">a name that’s becoming synonymous with </w:t>
      </w:r>
      <w:r w:rsidR="00CC0628">
        <w:rPr>
          <w:rFonts w:ascii="Lato" w:hAnsi="Lato"/>
          <w:sz w:val="20"/>
          <w:szCs w:val="20"/>
        </w:rPr>
        <w:t>flexibility and originality.</w:t>
      </w:r>
      <w:r w:rsidR="0044201B">
        <w:rPr>
          <w:rFonts w:ascii="Lato" w:hAnsi="Lato"/>
          <w:sz w:val="20"/>
          <w:szCs w:val="20"/>
        </w:rPr>
        <w:t xml:space="preserve"> Our aim here at </w:t>
      </w:r>
      <w:proofErr w:type="spellStart"/>
      <w:r w:rsidR="0044201B">
        <w:rPr>
          <w:rFonts w:ascii="Lato" w:hAnsi="Lato"/>
          <w:sz w:val="20"/>
          <w:szCs w:val="20"/>
        </w:rPr>
        <w:t>NetEnt</w:t>
      </w:r>
      <w:proofErr w:type="spellEnd"/>
      <w:r w:rsidR="0044201B">
        <w:rPr>
          <w:rFonts w:ascii="Lato" w:hAnsi="Lato"/>
          <w:sz w:val="20"/>
          <w:szCs w:val="20"/>
        </w:rPr>
        <w:t xml:space="preserve"> remains to set a standard for playability and performance, and we’re always looking to progress and adapt our service offering to give the market something exceptional. </w:t>
      </w:r>
      <w:r w:rsidR="00FA6F4E">
        <w:rPr>
          <w:rFonts w:ascii="Lato" w:hAnsi="Lato"/>
          <w:sz w:val="20"/>
          <w:szCs w:val="20"/>
        </w:rPr>
        <w:t xml:space="preserve">Looking to the future we’re going to be producing more innovative games, using the brilliant minds in the group to start </w:t>
      </w:r>
      <w:r w:rsidR="00020396">
        <w:rPr>
          <w:rFonts w:ascii="Lato" w:hAnsi="Lato"/>
          <w:sz w:val="20"/>
          <w:szCs w:val="20"/>
        </w:rPr>
        <w:t xml:space="preserve">mixing RNG, slots and live game principles. </w:t>
      </w:r>
      <w:r w:rsidR="0044201B">
        <w:rPr>
          <w:rFonts w:ascii="Lato" w:hAnsi="Lato"/>
          <w:sz w:val="20"/>
          <w:szCs w:val="20"/>
        </w:rPr>
        <w:t xml:space="preserve">We look forward to taking on the new set of challenges that </w:t>
      </w:r>
      <w:r w:rsidR="00020396">
        <w:rPr>
          <w:rFonts w:ascii="Lato" w:hAnsi="Lato"/>
          <w:sz w:val="20"/>
          <w:szCs w:val="20"/>
        </w:rPr>
        <w:t>this</w:t>
      </w:r>
      <w:r w:rsidR="0044201B">
        <w:rPr>
          <w:rFonts w:ascii="Lato" w:hAnsi="Lato"/>
          <w:sz w:val="20"/>
          <w:szCs w:val="20"/>
        </w:rPr>
        <w:t xml:space="preserve"> will present, and </w:t>
      </w:r>
      <w:r w:rsidR="0068521C">
        <w:rPr>
          <w:rFonts w:ascii="Lato" w:hAnsi="Lato"/>
          <w:sz w:val="20"/>
          <w:szCs w:val="20"/>
        </w:rPr>
        <w:t>to continue working with a remarkable set of people.”</w:t>
      </w:r>
      <w:r w:rsidR="00CC0628">
        <w:rPr>
          <w:rFonts w:ascii="Lato" w:hAnsi="Lato"/>
          <w:sz w:val="20"/>
          <w:szCs w:val="20"/>
        </w:rPr>
        <w:t xml:space="preserve"> </w:t>
      </w:r>
    </w:p>
    <w:p w14:paraId="65C77DCD" w14:textId="3131FE6C" w:rsidR="004B219D" w:rsidRDefault="004B219D" w:rsidP="006E27F4">
      <w:pPr>
        <w:spacing w:line="276" w:lineRule="auto"/>
        <w:rPr>
          <w:rFonts w:ascii="Lato" w:hAnsi="Lato"/>
          <w:sz w:val="20"/>
          <w:szCs w:val="20"/>
        </w:rPr>
      </w:pPr>
    </w:p>
    <w:p w14:paraId="400890C0" w14:textId="77777777" w:rsidR="00403C73" w:rsidRPr="007C6149" w:rsidRDefault="00403C73" w:rsidP="00403C73">
      <w:pPr>
        <w:rPr>
          <w:rFonts w:ascii="Lato" w:hAnsi="Lato"/>
          <w:sz w:val="20"/>
          <w:szCs w:val="20"/>
        </w:rPr>
      </w:pPr>
      <w:r w:rsidRPr="007C6149">
        <w:rPr>
          <w:rFonts w:ascii="Lato" w:hAnsi="Lato"/>
          <w:sz w:val="20"/>
          <w:szCs w:val="20"/>
        </w:rPr>
        <w:t xml:space="preserve">Officiated by Deloitte, the EGR B2B Awards reward and celebrate the very best service providers in the online gaming industry, recognising the achievements of suppliers from across all the major </w:t>
      </w:r>
      <w:proofErr w:type="spellStart"/>
      <w:r w:rsidRPr="007C6149">
        <w:rPr>
          <w:rFonts w:ascii="Lato" w:hAnsi="Lato"/>
          <w:sz w:val="20"/>
          <w:szCs w:val="20"/>
        </w:rPr>
        <w:t>egaming</w:t>
      </w:r>
      <w:proofErr w:type="spellEnd"/>
      <w:r w:rsidRPr="007C6149">
        <w:rPr>
          <w:rFonts w:ascii="Lato" w:hAnsi="Lato"/>
          <w:sz w:val="20"/>
          <w:szCs w:val="20"/>
        </w:rPr>
        <w:t xml:space="preserve"> disciplines </w:t>
      </w:r>
      <w:proofErr w:type="gramStart"/>
      <w:r w:rsidRPr="007C6149">
        <w:rPr>
          <w:rFonts w:ascii="Lato" w:hAnsi="Lato"/>
          <w:sz w:val="20"/>
          <w:szCs w:val="20"/>
        </w:rPr>
        <w:t>including:</w:t>
      </w:r>
      <w:proofErr w:type="gramEnd"/>
      <w:r w:rsidRPr="007C6149">
        <w:rPr>
          <w:rFonts w:ascii="Lato" w:hAnsi="Lato"/>
          <w:sz w:val="20"/>
          <w:szCs w:val="20"/>
        </w:rPr>
        <w:t xml:space="preserve"> betting and gaming software; networks; mobile; payments; recruitment; IT and infrastructure.</w:t>
      </w:r>
    </w:p>
    <w:p w14:paraId="65FA4867" w14:textId="4DB88915" w:rsidR="004B219D" w:rsidRDefault="004B219D" w:rsidP="006E27F4">
      <w:pPr>
        <w:spacing w:line="276" w:lineRule="auto"/>
        <w:rPr>
          <w:rFonts w:ascii="Lato" w:hAnsi="Lato"/>
          <w:sz w:val="20"/>
          <w:szCs w:val="20"/>
        </w:rPr>
      </w:pPr>
    </w:p>
    <w:p w14:paraId="3B6FD986" w14:textId="594744F6" w:rsidR="004B219D" w:rsidRDefault="004B219D" w:rsidP="006E27F4">
      <w:pPr>
        <w:spacing w:line="276" w:lineRule="auto"/>
        <w:rPr>
          <w:rFonts w:ascii="Lato" w:hAnsi="Lato"/>
          <w:sz w:val="20"/>
          <w:szCs w:val="20"/>
        </w:rPr>
      </w:pPr>
      <w:r>
        <w:rPr>
          <w:rFonts w:ascii="Lato" w:hAnsi="Lato"/>
          <w:sz w:val="20"/>
          <w:szCs w:val="20"/>
        </w:rPr>
        <w:t>For trade press and media enquiries, please contact:</w:t>
      </w:r>
    </w:p>
    <w:p w14:paraId="1E2D728D" w14:textId="25F0D4D3" w:rsidR="004B219D" w:rsidRPr="007C6149" w:rsidRDefault="002B1546" w:rsidP="006E27F4">
      <w:pPr>
        <w:spacing w:line="276" w:lineRule="auto"/>
        <w:rPr>
          <w:sz w:val="20"/>
          <w:szCs w:val="20"/>
        </w:rPr>
      </w:pPr>
      <w:hyperlink r:id="rId11" w:history="1">
        <w:r w:rsidR="004B219D" w:rsidRPr="001D67B1">
          <w:rPr>
            <w:rStyle w:val="Hyperlink"/>
            <w:rFonts w:ascii="Lato" w:hAnsi="Lato"/>
            <w:sz w:val="20"/>
            <w:szCs w:val="20"/>
          </w:rPr>
          <w:t>press@evolution.com</w:t>
        </w:r>
      </w:hyperlink>
      <w:r w:rsidR="004B219D">
        <w:rPr>
          <w:rFonts w:ascii="Lato" w:hAnsi="Lato"/>
          <w:sz w:val="20"/>
          <w:szCs w:val="20"/>
        </w:rPr>
        <w:t xml:space="preserve"> </w:t>
      </w:r>
    </w:p>
    <w:sectPr w:rsidR="004B219D" w:rsidRPr="007C6149" w:rsidSect="005F760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B0A3" w14:textId="77777777" w:rsidR="002B1546" w:rsidRDefault="002B1546">
      <w:r>
        <w:separator/>
      </w:r>
    </w:p>
  </w:endnote>
  <w:endnote w:type="continuationSeparator" w:id="0">
    <w:p w14:paraId="2A0875CC" w14:textId="77777777" w:rsidR="002B1546" w:rsidRDefault="002B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DinDisplay Pro">
    <w:altName w:val="﷽﷽﷽﷽﷽﷽﷽﷽"/>
    <w:panose1 w:val="02000506030000020004"/>
    <w:charset w:val="00"/>
    <w:family w:val="auto"/>
    <w:pitch w:val="variable"/>
    <w:sig w:usb0="A00002BF" w:usb1="5000E0FB" w:usb2="00000000" w:usb3="00000000" w:csb0="0000019F" w:csb1="00000000"/>
  </w:font>
  <w:font w:name="Lato">
    <w:altName w:val="Segoe UI"/>
    <w:panose1 w:val="020B0604020202020204"/>
    <w:charset w:val="00"/>
    <w:family w:val="swiss"/>
    <w:pitch w:val="variable"/>
    <w:sig w:usb0="E10002FF" w:usb1="5000ECFF" w:usb2="00000021" w:usb3="00000000" w:csb0="0000019F" w:csb1="00000000"/>
  </w:font>
  <w:font w:name="Lato Heavy">
    <w:altName w:val="Segoe UI"/>
    <w:panose1 w:val="020B0604020202020204"/>
    <w:charset w:val="00"/>
    <w:family w:val="swiss"/>
    <w:pitch w:val="variable"/>
    <w:sig w:usb0="E10002FF" w:usb1="5000ECFF" w:usb2="00000021" w:usb3="00000000" w:csb0="0000019F" w:csb1="00000000"/>
  </w:font>
  <w:font w:name="Times">
    <w:altName w:val="﷽﷽﷽﷽﷽﷽﷽﷽Ā핣"/>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C06F" w14:textId="77777777" w:rsidR="00C62553" w:rsidRDefault="00C62553">
    <w:pPr>
      <w:pStyle w:val="Footer"/>
    </w:pPr>
  </w:p>
  <w:p w14:paraId="24BDCA86" w14:textId="77777777" w:rsidR="00C62553" w:rsidRPr="00C62553" w:rsidRDefault="00C62553" w:rsidP="00C62553">
    <w:pPr>
      <w:rPr>
        <w:rFonts w:ascii="Arial" w:hAnsi="Arial" w:cs="Arial"/>
        <w:color w:val="AEAAAA" w:themeColor="background2" w:themeShade="BF"/>
        <w:sz w:val="18"/>
        <w:szCs w:val="18"/>
      </w:rPr>
    </w:pPr>
    <w:proofErr w:type="spellStart"/>
    <w:r w:rsidRPr="00C62553">
      <w:rPr>
        <w:rFonts w:ascii="Arial" w:hAnsi="Arial" w:cs="Arial"/>
        <w:b/>
        <w:bCs/>
        <w:color w:val="AEAAAA" w:themeColor="background2" w:themeShade="BF"/>
        <w:sz w:val="18"/>
        <w:szCs w:val="18"/>
      </w:rPr>
      <w:t>NetEnt</w:t>
    </w:r>
    <w:proofErr w:type="spellEnd"/>
    <w:r w:rsidRPr="00C62553">
      <w:rPr>
        <w:rFonts w:ascii="Arial" w:hAnsi="Arial" w:cs="Arial"/>
        <w:b/>
        <w:bCs/>
        <w:color w:val="AEAAAA" w:themeColor="background2" w:themeShade="BF"/>
        <w:sz w:val="18"/>
        <w:szCs w:val="18"/>
      </w:rPr>
      <w:t xml:space="preserve"> </w:t>
    </w:r>
    <w:r w:rsidRPr="00C62553">
      <w:rPr>
        <w:rFonts w:ascii="Arial" w:hAnsi="Arial" w:cs="Arial"/>
        <w:color w:val="AEAAAA" w:themeColor="background2" w:themeShade="BF"/>
        <w:sz w:val="18"/>
        <w:szCs w:val="18"/>
      </w:rPr>
      <w:t xml:space="preserve">is a leading digital entertainment company and part of </w:t>
    </w:r>
    <w:r w:rsidRPr="00C62553">
      <w:rPr>
        <w:rFonts w:ascii="Arial" w:hAnsi="Arial" w:cs="Arial"/>
        <w:b/>
        <w:bCs/>
        <w:color w:val="AEAAAA" w:themeColor="background2" w:themeShade="BF"/>
        <w:sz w:val="18"/>
        <w:szCs w:val="18"/>
      </w:rPr>
      <w:t>Evolution Gaming Group AB</w:t>
    </w:r>
    <w:r w:rsidRPr="00C62553">
      <w:rPr>
        <w:rFonts w:ascii="Arial" w:hAnsi="Arial" w:cs="Arial"/>
        <w:color w:val="AEAAAA" w:themeColor="background2" w:themeShade="BF"/>
        <w:sz w:val="18"/>
        <w:szCs w:val="18"/>
      </w:rPr>
      <w:t xml:space="preserve">, the premium provider of online casino content. It supplies high quality gaming solutions to the world’s most successful online casino operators. Since its inception in 1996, </w:t>
    </w:r>
    <w:proofErr w:type="spellStart"/>
    <w:r w:rsidRPr="00C62553">
      <w:rPr>
        <w:rFonts w:ascii="Arial" w:hAnsi="Arial" w:cs="Arial"/>
        <w:color w:val="AEAAAA" w:themeColor="background2" w:themeShade="BF"/>
        <w:sz w:val="18"/>
        <w:szCs w:val="18"/>
      </w:rPr>
      <w:t>NetEnt</w:t>
    </w:r>
    <w:proofErr w:type="spellEnd"/>
    <w:r w:rsidRPr="00C62553">
      <w:rPr>
        <w:rFonts w:ascii="Arial" w:hAnsi="Arial" w:cs="Arial"/>
        <w:color w:val="AEAAAA" w:themeColor="background2" w:themeShade="BF"/>
        <w:sz w:val="18"/>
        <w:szCs w:val="18"/>
      </w:rPr>
      <w:t xml:space="preserve">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w:t>
    </w:r>
    <w:proofErr w:type="spellStart"/>
    <w:r w:rsidRPr="00C62553">
      <w:rPr>
        <w:rFonts w:ascii="Arial" w:hAnsi="Arial" w:cs="Arial"/>
        <w:color w:val="AEAAAA" w:themeColor="background2" w:themeShade="BF"/>
        <w:sz w:val="18"/>
        <w:szCs w:val="18"/>
      </w:rPr>
      <w:t>NetEnt</w:t>
    </w:r>
    <w:proofErr w:type="spellEnd"/>
    <w:r w:rsidRPr="00C62553">
      <w:rPr>
        <w:rFonts w:ascii="Arial" w:hAnsi="Arial" w:cs="Arial"/>
        <w:color w:val="AEAAAA" w:themeColor="background2" w:themeShade="BF"/>
        <w:sz w:val="18"/>
        <w:szCs w:val="18"/>
      </w:rPr>
      <w:t xml:space="preserve"> holds licenses in Alderney, Belgium, Gibraltar, Malta, Romania, Spain, and the UK, as well as the U.S. states of Michigan, New Jersey, Pennsylvania and West Virginia. Learn more at: </w:t>
    </w:r>
    <w:hyperlink r:id="rId1" w:history="1">
      <w:r w:rsidRPr="00C62553">
        <w:rPr>
          <w:rStyle w:val="Hyperlink"/>
          <w:rFonts w:ascii="Arial" w:hAnsi="Arial" w:cs="Arial"/>
          <w:color w:val="AEAAAA" w:themeColor="background2" w:themeShade="BF"/>
          <w:sz w:val="18"/>
          <w:szCs w:val="18"/>
        </w:rPr>
        <w:t>www.netent.com</w:t>
      </w:r>
    </w:hyperlink>
  </w:p>
  <w:p w14:paraId="200F4C53" w14:textId="77777777" w:rsidR="00C62553" w:rsidRPr="00C62553" w:rsidRDefault="00C62553" w:rsidP="00C62553">
    <w:pPr>
      <w:rPr>
        <w:rFonts w:ascii="Arial" w:hAnsi="Arial" w:cs="Arial"/>
        <w:color w:val="AEAAAA" w:themeColor="background2" w:themeShade="BF"/>
        <w:sz w:val="18"/>
        <w:szCs w:val="18"/>
      </w:rPr>
    </w:pPr>
  </w:p>
  <w:p w14:paraId="05EFD73C" w14:textId="77777777" w:rsidR="00C62553" w:rsidRPr="00C62553" w:rsidRDefault="00C62553" w:rsidP="00C62553">
    <w:pPr>
      <w:rPr>
        <w:rFonts w:ascii="Arial" w:hAnsi="Arial" w:cs="Arial"/>
        <w:color w:val="AEAAAA" w:themeColor="background2" w:themeShade="BF"/>
        <w:sz w:val="18"/>
        <w:szCs w:val="18"/>
      </w:rPr>
    </w:pPr>
    <w:r w:rsidRPr="00C62553">
      <w:rPr>
        <w:rFonts w:ascii="Lato" w:hAnsi="Lato" w:cs="Lato"/>
        <w:noProof/>
        <w:color w:val="AEAAAA" w:themeColor="background2" w:themeShade="BF"/>
        <w:sz w:val="16"/>
        <w:szCs w:val="16"/>
        <w:lang w:val="en-US"/>
      </w:rPr>
      <w:drawing>
        <wp:inline distT="0" distB="0" distL="0" distR="0" wp14:anchorId="5D20CC6C" wp14:editId="4E4F2AD8">
          <wp:extent cx="152400" cy="152400"/>
          <wp:effectExtent l="0" t="0" r="4445" b="444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8.png"/>
                  <pic:cNvPicPr/>
                </pic:nvPicPr>
                <pic:blipFill>
                  <a:blip r:embed="rId2">
                    <a:extLst>
                      <a:ext uri="{28A0092B-C50C-407E-A947-70E740481C1C}">
                        <a14:useLocalDpi xmlns:a14="http://schemas.microsoft.com/office/drawing/2010/main" val="0"/>
                      </a:ext>
                    </a:extLst>
                  </a:blip>
                  <a:stretch>
                    <a:fillRect/>
                  </a:stretch>
                </pic:blipFill>
                <pic:spPr>
                  <a:xfrm>
                    <a:off x="0" y="0"/>
                    <a:ext cx="101600" cy="101600"/>
                  </a:xfrm>
                  <a:prstGeom prst="rect">
                    <a:avLst/>
                  </a:prstGeom>
                </pic:spPr>
              </pic:pic>
            </a:graphicData>
          </a:graphic>
        </wp:inline>
      </w:drawing>
    </w:r>
  </w:p>
  <w:p w14:paraId="062B5907" w14:textId="77777777" w:rsidR="00C62553" w:rsidRDefault="00C625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1273" w14:textId="77777777" w:rsidR="002B1546" w:rsidRDefault="002B1546">
      <w:r>
        <w:separator/>
      </w:r>
    </w:p>
  </w:footnote>
  <w:footnote w:type="continuationSeparator" w:id="0">
    <w:p w14:paraId="30EC3F06" w14:textId="77777777" w:rsidR="002B1546" w:rsidRDefault="002B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5BF" w14:textId="77777777" w:rsidR="00414F1E" w:rsidRDefault="00957C16">
    <w:pPr>
      <w:pStyle w:val="Header"/>
    </w:pPr>
    <w:r>
      <w:rPr>
        <w:noProof/>
        <w:lang w:val="en-US"/>
      </w:rPr>
      <w:drawing>
        <wp:anchor distT="0" distB="0" distL="114300" distR="114300" simplePos="0" relativeHeight="251659264" behindDoc="0" locked="0" layoutInCell="1" allowOverlap="1" wp14:anchorId="36D12121" wp14:editId="0FF0CA2E">
          <wp:simplePos x="0" y="0"/>
          <wp:positionH relativeFrom="column">
            <wp:posOffset>5162550</wp:posOffset>
          </wp:positionH>
          <wp:positionV relativeFrom="paragraph">
            <wp:posOffset>-286385</wp:posOffset>
          </wp:positionV>
          <wp:extent cx="1240972" cy="507670"/>
          <wp:effectExtent l="0" t="0" r="0" b="635"/>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972" cy="507670"/>
                  </a:xfrm>
                  <a:prstGeom prst="rect">
                    <a:avLst/>
                  </a:prstGeom>
                  <a:noFill/>
                  <a:ln>
                    <a:noFill/>
                  </a:ln>
                </pic:spPr>
              </pic:pic>
            </a:graphicData>
          </a:graphic>
        </wp:anchor>
      </w:drawing>
    </w:r>
  </w:p>
  <w:p w14:paraId="7FDF9F48" w14:textId="77777777" w:rsidR="00414F1E" w:rsidRDefault="002B1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BDB"/>
    <w:multiLevelType w:val="hybridMultilevel"/>
    <w:tmpl w:val="CFD4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7D"/>
    <w:rsid w:val="000108FC"/>
    <w:rsid w:val="00020396"/>
    <w:rsid w:val="000347F0"/>
    <w:rsid w:val="000460FE"/>
    <w:rsid w:val="0006307C"/>
    <w:rsid w:val="000703E9"/>
    <w:rsid w:val="000720FC"/>
    <w:rsid w:val="00081C37"/>
    <w:rsid w:val="00092515"/>
    <w:rsid w:val="000A540D"/>
    <w:rsid w:val="000B11C6"/>
    <w:rsid w:val="000B7D18"/>
    <w:rsid w:val="000D173F"/>
    <w:rsid w:val="000D251D"/>
    <w:rsid w:val="000E1C6C"/>
    <w:rsid w:val="000F2670"/>
    <w:rsid w:val="001053FA"/>
    <w:rsid w:val="00164B13"/>
    <w:rsid w:val="00187D22"/>
    <w:rsid w:val="001B073F"/>
    <w:rsid w:val="001C551A"/>
    <w:rsid w:val="001D18A3"/>
    <w:rsid w:val="001D49B5"/>
    <w:rsid w:val="001F4CF6"/>
    <w:rsid w:val="001F7CCF"/>
    <w:rsid w:val="00205CB4"/>
    <w:rsid w:val="002068EA"/>
    <w:rsid w:val="00216B60"/>
    <w:rsid w:val="00217DC7"/>
    <w:rsid w:val="00237384"/>
    <w:rsid w:val="00237CB0"/>
    <w:rsid w:val="00243C3A"/>
    <w:rsid w:val="00255E40"/>
    <w:rsid w:val="002644DF"/>
    <w:rsid w:val="00265596"/>
    <w:rsid w:val="002851CD"/>
    <w:rsid w:val="00297101"/>
    <w:rsid w:val="002B0FE8"/>
    <w:rsid w:val="002B1546"/>
    <w:rsid w:val="002C0871"/>
    <w:rsid w:val="002D39D5"/>
    <w:rsid w:val="002E2279"/>
    <w:rsid w:val="003220FF"/>
    <w:rsid w:val="00336583"/>
    <w:rsid w:val="003448D5"/>
    <w:rsid w:val="00344FCC"/>
    <w:rsid w:val="0034634C"/>
    <w:rsid w:val="0034762F"/>
    <w:rsid w:val="0038193D"/>
    <w:rsid w:val="00382C43"/>
    <w:rsid w:val="003B101F"/>
    <w:rsid w:val="003C07D3"/>
    <w:rsid w:val="003D47A1"/>
    <w:rsid w:val="003D684E"/>
    <w:rsid w:val="003F3D76"/>
    <w:rsid w:val="003F5C05"/>
    <w:rsid w:val="00403C73"/>
    <w:rsid w:val="00436995"/>
    <w:rsid w:val="004379E3"/>
    <w:rsid w:val="0044201B"/>
    <w:rsid w:val="00472C7D"/>
    <w:rsid w:val="004749AF"/>
    <w:rsid w:val="0047672F"/>
    <w:rsid w:val="00484098"/>
    <w:rsid w:val="0049579F"/>
    <w:rsid w:val="0049797B"/>
    <w:rsid w:val="004B219D"/>
    <w:rsid w:val="004C53F8"/>
    <w:rsid w:val="004D0F61"/>
    <w:rsid w:val="004D104F"/>
    <w:rsid w:val="004D643C"/>
    <w:rsid w:val="004E357A"/>
    <w:rsid w:val="004F0761"/>
    <w:rsid w:val="005019E7"/>
    <w:rsid w:val="0051066F"/>
    <w:rsid w:val="00511604"/>
    <w:rsid w:val="00526AC3"/>
    <w:rsid w:val="005303A2"/>
    <w:rsid w:val="00535661"/>
    <w:rsid w:val="00536D93"/>
    <w:rsid w:val="005500FF"/>
    <w:rsid w:val="005552A7"/>
    <w:rsid w:val="005601D8"/>
    <w:rsid w:val="005630D7"/>
    <w:rsid w:val="00597FD1"/>
    <w:rsid w:val="005C0EE5"/>
    <w:rsid w:val="005C4C32"/>
    <w:rsid w:val="005E3921"/>
    <w:rsid w:val="005E58FC"/>
    <w:rsid w:val="0062508E"/>
    <w:rsid w:val="006316BA"/>
    <w:rsid w:val="00631D0D"/>
    <w:rsid w:val="0063493F"/>
    <w:rsid w:val="00637ACB"/>
    <w:rsid w:val="006445E8"/>
    <w:rsid w:val="00647B44"/>
    <w:rsid w:val="00655BA7"/>
    <w:rsid w:val="006742A6"/>
    <w:rsid w:val="00675FB5"/>
    <w:rsid w:val="0068521C"/>
    <w:rsid w:val="0069150D"/>
    <w:rsid w:val="006A4DC7"/>
    <w:rsid w:val="006E27F4"/>
    <w:rsid w:val="006E292B"/>
    <w:rsid w:val="006E380E"/>
    <w:rsid w:val="006E7015"/>
    <w:rsid w:val="006F2792"/>
    <w:rsid w:val="00720587"/>
    <w:rsid w:val="00721A75"/>
    <w:rsid w:val="007238EF"/>
    <w:rsid w:val="00747366"/>
    <w:rsid w:val="00761FEC"/>
    <w:rsid w:val="0077125E"/>
    <w:rsid w:val="00785E56"/>
    <w:rsid w:val="007870C9"/>
    <w:rsid w:val="00794EFB"/>
    <w:rsid w:val="007C6149"/>
    <w:rsid w:val="007F5C33"/>
    <w:rsid w:val="00815292"/>
    <w:rsid w:val="0082163A"/>
    <w:rsid w:val="008515C7"/>
    <w:rsid w:val="00851774"/>
    <w:rsid w:val="008A5F3A"/>
    <w:rsid w:val="008B4C21"/>
    <w:rsid w:val="008B71C1"/>
    <w:rsid w:val="008C266C"/>
    <w:rsid w:val="008D549E"/>
    <w:rsid w:val="008E502B"/>
    <w:rsid w:val="0092115A"/>
    <w:rsid w:val="00926281"/>
    <w:rsid w:val="00931B7A"/>
    <w:rsid w:val="00937601"/>
    <w:rsid w:val="0094282F"/>
    <w:rsid w:val="00957C16"/>
    <w:rsid w:val="0096329C"/>
    <w:rsid w:val="00977956"/>
    <w:rsid w:val="009815B9"/>
    <w:rsid w:val="00983DCA"/>
    <w:rsid w:val="009A26A5"/>
    <w:rsid w:val="009A5CCB"/>
    <w:rsid w:val="009B22EF"/>
    <w:rsid w:val="009C1195"/>
    <w:rsid w:val="00A07FE0"/>
    <w:rsid w:val="00A41F63"/>
    <w:rsid w:val="00A654DF"/>
    <w:rsid w:val="00A8409C"/>
    <w:rsid w:val="00A85153"/>
    <w:rsid w:val="00AA1AC6"/>
    <w:rsid w:val="00AB1F50"/>
    <w:rsid w:val="00AB2AB8"/>
    <w:rsid w:val="00AD1477"/>
    <w:rsid w:val="00AD5D3A"/>
    <w:rsid w:val="00AD6C42"/>
    <w:rsid w:val="00AD6FB7"/>
    <w:rsid w:val="00AE2178"/>
    <w:rsid w:val="00AE4862"/>
    <w:rsid w:val="00AF0438"/>
    <w:rsid w:val="00B018D9"/>
    <w:rsid w:val="00B04842"/>
    <w:rsid w:val="00B129AF"/>
    <w:rsid w:val="00B25831"/>
    <w:rsid w:val="00B4191D"/>
    <w:rsid w:val="00B42FE2"/>
    <w:rsid w:val="00B5039C"/>
    <w:rsid w:val="00B6004E"/>
    <w:rsid w:val="00B62FA5"/>
    <w:rsid w:val="00B64128"/>
    <w:rsid w:val="00B71321"/>
    <w:rsid w:val="00B7156C"/>
    <w:rsid w:val="00B736AB"/>
    <w:rsid w:val="00B74F16"/>
    <w:rsid w:val="00BC203C"/>
    <w:rsid w:val="00BF1E1D"/>
    <w:rsid w:val="00C161A4"/>
    <w:rsid w:val="00C318F9"/>
    <w:rsid w:val="00C40813"/>
    <w:rsid w:val="00C62553"/>
    <w:rsid w:val="00C66E06"/>
    <w:rsid w:val="00C7510D"/>
    <w:rsid w:val="00C832AB"/>
    <w:rsid w:val="00C8361D"/>
    <w:rsid w:val="00C9177E"/>
    <w:rsid w:val="00C94BC4"/>
    <w:rsid w:val="00C9639F"/>
    <w:rsid w:val="00CA7B12"/>
    <w:rsid w:val="00CB101B"/>
    <w:rsid w:val="00CC0628"/>
    <w:rsid w:val="00CC257E"/>
    <w:rsid w:val="00CC79EF"/>
    <w:rsid w:val="00CD7BA9"/>
    <w:rsid w:val="00CE53D5"/>
    <w:rsid w:val="00CF6653"/>
    <w:rsid w:val="00D00FB3"/>
    <w:rsid w:val="00D15787"/>
    <w:rsid w:val="00D33DD7"/>
    <w:rsid w:val="00D447DB"/>
    <w:rsid w:val="00D45201"/>
    <w:rsid w:val="00D570EC"/>
    <w:rsid w:val="00D64343"/>
    <w:rsid w:val="00D95C73"/>
    <w:rsid w:val="00DB669C"/>
    <w:rsid w:val="00DC147E"/>
    <w:rsid w:val="00DC61F0"/>
    <w:rsid w:val="00DE2DE8"/>
    <w:rsid w:val="00E01D55"/>
    <w:rsid w:val="00E05B0D"/>
    <w:rsid w:val="00E22B67"/>
    <w:rsid w:val="00E277C3"/>
    <w:rsid w:val="00E3047A"/>
    <w:rsid w:val="00E3210E"/>
    <w:rsid w:val="00E3374C"/>
    <w:rsid w:val="00E45B5D"/>
    <w:rsid w:val="00E50634"/>
    <w:rsid w:val="00EC6C1A"/>
    <w:rsid w:val="00EC73AF"/>
    <w:rsid w:val="00EE02B5"/>
    <w:rsid w:val="00EE24A6"/>
    <w:rsid w:val="00EF0BB6"/>
    <w:rsid w:val="00F11AB3"/>
    <w:rsid w:val="00F21098"/>
    <w:rsid w:val="00F24506"/>
    <w:rsid w:val="00F31538"/>
    <w:rsid w:val="00F40BB2"/>
    <w:rsid w:val="00F538D8"/>
    <w:rsid w:val="00F610C1"/>
    <w:rsid w:val="00F67848"/>
    <w:rsid w:val="00F768FF"/>
    <w:rsid w:val="00F934B3"/>
    <w:rsid w:val="00FA583E"/>
    <w:rsid w:val="00FA6F4E"/>
    <w:rsid w:val="00FB112B"/>
    <w:rsid w:val="00FB7C56"/>
    <w:rsid w:val="00FC7A3F"/>
    <w:rsid w:val="00FD37B0"/>
    <w:rsid w:val="00FF7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15C"/>
  <w15:chartTrackingRefBased/>
  <w15:docId w15:val="{2EADBDF0-7D6A-4794-90A8-859664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EntTitle">
    <w:name w:val="NetEnt Title"/>
    <w:rsid w:val="00472C7D"/>
    <w:pPr>
      <w:suppressAutoHyphens/>
      <w:spacing w:before="3720" w:after="240"/>
      <w:jc w:val="center"/>
    </w:pPr>
    <w:rPr>
      <w:rFonts w:ascii="Arial" w:eastAsia="Times New Roman" w:hAnsi="Arial" w:cs="Times New Roman"/>
      <w:b/>
      <w:sz w:val="44"/>
      <w:szCs w:val="44"/>
      <w:lang w:val="en-US"/>
    </w:rPr>
  </w:style>
  <w:style w:type="paragraph" w:styleId="Header">
    <w:name w:val="header"/>
    <w:basedOn w:val="Normal"/>
    <w:link w:val="HeaderChar"/>
    <w:uiPriority w:val="99"/>
    <w:unhideWhenUsed/>
    <w:rsid w:val="00472C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C7D"/>
  </w:style>
  <w:style w:type="character" w:styleId="Hyperlink">
    <w:name w:val="Hyperlink"/>
    <w:basedOn w:val="DefaultParagraphFont"/>
    <w:uiPriority w:val="99"/>
    <w:unhideWhenUsed/>
    <w:rsid w:val="00472C7D"/>
    <w:rPr>
      <w:color w:val="0563C1" w:themeColor="hyperlink"/>
      <w:u w:val="single"/>
    </w:rPr>
  </w:style>
  <w:style w:type="character" w:styleId="CommentReference">
    <w:name w:val="annotation reference"/>
    <w:basedOn w:val="DefaultParagraphFont"/>
    <w:uiPriority w:val="99"/>
    <w:semiHidden/>
    <w:unhideWhenUsed/>
    <w:rsid w:val="0094282F"/>
    <w:rPr>
      <w:sz w:val="16"/>
      <w:szCs w:val="16"/>
    </w:rPr>
  </w:style>
  <w:style w:type="paragraph" w:styleId="CommentText">
    <w:name w:val="annotation text"/>
    <w:basedOn w:val="Normal"/>
    <w:link w:val="CommentTextChar"/>
    <w:uiPriority w:val="99"/>
    <w:semiHidden/>
    <w:unhideWhenUsed/>
    <w:rsid w:val="0094282F"/>
    <w:rPr>
      <w:sz w:val="20"/>
      <w:szCs w:val="20"/>
    </w:rPr>
  </w:style>
  <w:style w:type="character" w:customStyle="1" w:styleId="CommentTextChar">
    <w:name w:val="Comment Text Char"/>
    <w:basedOn w:val="DefaultParagraphFont"/>
    <w:link w:val="CommentText"/>
    <w:uiPriority w:val="99"/>
    <w:semiHidden/>
    <w:rsid w:val="009428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282F"/>
    <w:rPr>
      <w:b/>
      <w:bCs/>
    </w:rPr>
  </w:style>
  <w:style w:type="character" w:customStyle="1" w:styleId="CommentSubjectChar">
    <w:name w:val="Comment Subject Char"/>
    <w:basedOn w:val="CommentTextChar"/>
    <w:link w:val="CommentSubject"/>
    <w:uiPriority w:val="99"/>
    <w:semiHidden/>
    <w:rsid w:val="009428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4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2F"/>
    <w:rPr>
      <w:rFonts w:ascii="Segoe UI" w:eastAsia="Times New Roman" w:hAnsi="Segoe UI" w:cs="Segoe UI"/>
      <w:sz w:val="18"/>
      <w:szCs w:val="18"/>
      <w:lang w:eastAsia="en-GB"/>
    </w:rPr>
  </w:style>
  <w:style w:type="character" w:styleId="Strong">
    <w:name w:val="Strong"/>
    <w:basedOn w:val="DefaultParagraphFont"/>
    <w:uiPriority w:val="22"/>
    <w:qFormat/>
    <w:rsid w:val="00B04842"/>
    <w:rPr>
      <w:b/>
      <w:bCs/>
    </w:rPr>
  </w:style>
  <w:style w:type="paragraph" w:styleId="ListParagraph">
    <w:name w:val="List Paragraph"/>
    <w:basedOn w:val="Normal"/>
    <w:uiPriority w:val="34"/>
    <w:qFormat/>
    <w:rsid w:val="008D549E"/>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380E"/>
    <w:rPr>
      <w:color w:val="605E5C"/>
      <w:shd w:val="clear" w:color="auto" w:fill="E1DFDD"/>
    </w:rPr>
  </w:style>
  <w:style w:type="paragraph" w:customStyle="1" w:styleId="Default">
    <w:name w:val="Default"/>
    <w:rsid w:val="00B6004E"/>
    <w:pPr>
      <w:autoSpaceDE w:val="0"/>
      <w:autoSpaceDN w:val="0"/>
      <w:adjustRightInd w:val="0"/>
    </w:pPr>
    <w:rPr>
      <w:rFonts w:ascii="PF DinDisplay Pro" w:hAnsi="PF DinDisplay Pro" w:cs="PF DinDisplay Pro"/>
      <w:color w:val="000000"/>
      <w:sz w:val="24"/>
      <w:szCs w:val="24"/>
    </w:rPr>
  </w:style>
  <w:style w:type="paragraph" w:customStyle="1" w:styleId="Pa0">
    <w:name w:val="Pa0"/>
    <w:basedOn w:val="Default"/>
    <w:next w:val="Default"/>
    <w:uiPriority w:val="99"/>
    <w:rsid w:val="00B6004E"/>
    <w:pPr>
      <w:spacing w:line="241" w:lineRule="atLeast"/>
    </w:pPr>
    <w:rPr>
      <w:rFonts w:cstheme="minorBidi"/>
      <w:color w:val="auto"/>
    </w:rPr>
  </w:style>
  <w:style w:type="character" w:customStyle="1" w:styleId="A2">
    <w:name w:val="A2"/>
    <w:uiPriority w:val="99"/>
    <w:rsid w:val="00B6004E"/>
    <w:rPr>
      <w:rFonts w:cs="PF DinDisplay Pro"/>
      <w:color w:val="000000"/>
      <w:sz w:val="22"/>
      <w:szCs w:val="22"/>
    </w:rPr>
  </w:style>
  <w:style w:type="paragraph" w:styleId="NormalWeb">
    <w:name w:val="Normal (Web)"/>
    <w:basedOn w:val="Normal"/>
    <w:uiPriority w:val="99"/>
    <w:semiHidden/>
    <w:unhideWhenUsed/>
    <w:rsid w:val="00265596"/>
    <w:pPr>
      <w:spacing w:before="100" w:beforeAutospacing="1" w:after="100" w:afterAutospacing="1"/>
    </w:pPr>
  </w:style>
  <w:style w:type="character" w:styleId="Emphasis">
    <w:name w:val="Emphasis"/>
    <w:basedOn w:val="DefaultParagraphFont"/>
    <w:uiPriority w:val="20"/>
    <w:qFormat/>
    <w:rsid w:val="00265596"/>
    <w:rPr>
      <w:i/>
      <w:iCs/>
    </w:rPr>
  </w:style>
  <w:style w:type="paragraph" w:styleId="Footer">
    <w:name w:val="footer"/>
    <w:basedOn w:val="Normal"/>
    <w:link w:val="FooterChar"/>
    <w:uiPriority w:val="99"/>
    <w:unhideWhenUsed/>
    <w:rsid w:val="000D173F"/>
    <w:pPr>
      <w:tabs>
        <w:tab w:val="center" w:pos="4513"/>
        <w:tab w:val="right" w:pos="9026"/>
      </w:tabs>
    </w:pPr>
  </w:style>
  <w:style w:type="character" w:customStyle="1" w:styleId="FooterChar">
    <w:name w:val="Footer Char"/>
    <w:basedOn w:val="DefaultParagraphFont"/>
    <w:link w:val="Footer"/>
    <w:uiPriority w:val="99"/>
    <w:rsid w:val="000D173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72494">
      <w:bodyDiv w:val="1"/>
      <w:marLeft w:val="0"/>
      <w:marRight w:val="0"/>
      <w:marTop w:val="0"/>
      <w:marBottom w:val="0"/>
      <w:divBdr>
        <w:top w:val="none" w:sz="0" w:space="0" w:color="auto"/>
        <w:left w:val="none" w:sz="0" w:space="0" w:color="auto"/>
        <w:bottom w:val="none" w:sz="0" w:space="0" w:color="auto"/>
        <w:right w:val="none" w:sz="0" w:space="0" w:color="auto"/>
      </w:divBdr>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670065375">
          <w:marLeft w:val="0"/>
          <w:marRight w:val="0"/>
          <w:marTop w:val="0"/>
          <w:marBottom w:val="0"/>
          <w:divBdr>
            <w:top w:val="none" w:sz="0" w:space="0" w:color="auto"/>
            <w:left w:val="none" w:sz="0" w:space="0" w:color="auto"/>
            <w:bottom w:val="none" w:sz="0" w:space="0" w:color="auto"/>
            <w:right w:val="none" w:sz="0" w:space="0" w:color="auto"/>
          </w:divBdr>
          <w:divsChild>
            <w:div w:id="335151928">
              <w:marLeft w:val="0"/>
              <w:marRight w:val="0"/>
              <w:marTop w:val="0"/>
              <w:marBottom w:val="0"/>
              <w:divBdr>
                <w:top w:val="none" w:sz="0" w:space="0" w:color="auto"/>
                <w:left w:val="none" w:sz="0" w:space="0" w:color="auto"/>
                <w:bottom w:val="none" w:sz="0" w:space="0" w:color="auto"/>
                <w:right w:val="none" w:sz="0" w:space="0" w:color="auto"/>
              </w:divBdr>
              <w:divsChild>
                <w:div w:id="1031078476">
                  <w:marLeft w:val="0"/>
                  <w:marRight w:val="0"/>
                  <w:marTop w:val="0"/>
                  <w:marBottom w:val="0"/>
                  <w:divBdr>
                    <w:top w:val="none" w:sz="0" w:space="0" w:color="auto"/>
                    <w:left w:val="none" w:sz="0" w:space="0" w:color="auto"/>
                    <w:bottom w:val="none" w:sz="0" w:space="0" w:color="auto"/>
                    <w:right w:val="none" w:sz="0" w:space="0" w:color="auto"/>
                  </w:divBdr>
                  <w:divsChild>
                    <w:div w:id="1199391366">
                      <w:marLeft w:val="0"/>
                      <w:marRight w:val="0"/>
                      <w:marTop w:val="0"/>
                      <w:marBottom w:val="0"/>
                      <w:divBdr>
                        <w:top w:val="none" w:sz="0" w:space="0" w:color="auto"/>
                        <w:left w:val="none" w:sz="0" w:space="0" w:color="auto"/>
                        <w:bottom w:val="none" w:sz="0" w:space="0" w:color="auto"/>
                        <w:right w:val="none" w:sz="0" w:space="0" w:color="auto"/>
                      </w:divBdr>
                      <w:divsChild>
                        <w:div w:id="11419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8026">
              <w:marLeft w:val="0"/>
              <w:marRight w:val="0"/>
              <w:marTop w:val="0"/>
              <w:marBottom w:val="0"/>
              <w:divBdr>
                <w:top w:val="none" w:sz="0" w:space="0" w:color="auto"/>
                <w:left w:val="none" w:sz="0" w:space="0" w:color="auto"/>
                <w:bottom w:val="none" w:sz="0" w:space="0" w:color="auto"/>
                <w:right w:val="none" w:sz="0" w:space="0" w:color="auto"/>
              </w:divBdr>
            </w:div>
            <w:div w:id="1754935631">
              <w:marLeft w:val="0"/>
              <w:marRight w:val="0"/>
              <w:marTop w:val="0"/>
              <w:marBottom w:val="0"/>
              <w:divBdr>
                <w:top w:val="none" w:sz="0" w:space="0" w:color="auto"/>
                <w:left w:val="none" w:sz="0" w:space="0" w:color="auto"/>
                <w:bottom w:val="none" w:sz="0" w:space="0" w:color="auto"/>
                <w:right w:val="none" w:sz="0" w:space="0" w:color="auto"/>
              </w:divBdr>
              <w:divsChild>
                <w:div w:id="591399549">
                  <w:marLeft w:val="0"/>
                  <w:marRight w:val="0"/>
                  <w:marTop w:val="0"/>
                  <w:marBottom w:val="0"/>
                  <w:divBdr>
                    <w:top w:val="none" w:sz="0" w:space="0" w:color="auto"/>
                    <w:left w:val="none" w:sz="0" w:space="0" w:color="auto"/>
                    <w:bottom w:val="none" w:sz="0" w:space="0" w:color="auto"/>
                    <w:right w:val="none" w:sz="0" w:space="0" w:color="auto"/>
                  </w:divBdr>
                  <w:divsChild>
                    <w:div w:id="1530488173">
                      <w:marLeft w:val="0"/>
                      <w:marRight w:val="0"/>
                      <w:marTop w:val="0"/>
                      <w:marBottom w:val="0"/>
                      <w:divBdr>
                        <w:top w:val="none" w:sz="0" w:space="0" w:color="auto"/>
                        <w:left w:val="none" w:sz="0" w:space="0" w:color="auto"/>
                        <w:bottom w:val="none" w:sz="0" w:space="0" w:color="auto"/>
                        <w:right w:val="none" w:sz="0" w:space="0" w:color="auto"/>
                      </w:divBdr>
                      <w:divsChild>
                        <w:div w:id="9735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52743">
      <w:bodyDiv w:val="1"/>
      <w:marLeft w:val="0"/>
      <w:marRight w:val="0"/>
      <w:marTop w:val="0"/>
      <w:marBottom w:val="0"/>
      <w:divBdr>
        <w:top w:val="none" w:sz="0" w:space="0" w:color="auto"/>
        <w:left w:val="none" w:sz="0" w:space="0" w:color="auto"/>
        <w:bottom w:val="none" w:sz="0" w:space="0" w:color="auto"/>
        <w:right w:val="none" w:sz="0" w:space="0" w:color="auto"/>
      </w:divBdr>
    </w:div>
    <w:div w:id="11835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voluti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nete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DD957860A20543AA0A39AE360AA826" ma:contentTypeVersion="10" ma:contentTypeDescription="Create a new document." ma:contentTypeScope="" ma:versionID="4232429053be0c1395fcabd68eeab9b1">
  <xsd:schema xmlns:xsd="http://www.w3.org/2001/XMLSchema" xmlns:xs="http://www.w3.org/2001/XMLSchema" xmlns:p="http://schemas.microsoft.com/office/2006/metadata/properties" xmlns:ns2="3f4acd05-94b3-4b6f-b581-7f92a0a2dfb7" targetNamespace="http://schemas.microsoft.com/office/2006/metadata/properties" ma:root="true" ma:fieldsID="8731ce8788c4eaf6289716373cadc24a" ns2:_="">
    <xsd:import namespace="3f4acd05-94b3-4b6f-b581-7f92a0a2df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cd05-94b3-4b6f-b581-7f92a0a2d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22BDF-3673-4284-B098-30D0288E5D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FC8060-ADB2-435E-8947-E9078B57E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cd05-94b3-4b6f-b581-7f92a0a2d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9B889-AA32-4765-A7A3-1E5F7DD8ED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Warburton</dc:creator>
  <cp:keywords/>
  <dc:description/>
  <cp:lastModifiedBy>Cassandra Ann Cooper Bagnall</cp:lastModifiedBy>
  <cp:revision>7</cp:revision>
  <dcterms:created xsi:type="dcterms:W3CDTF">2021-07-09T13:14:00Z</dcterms:created>
  <dcterms:modified xsi:type="dcterms:W3CDTF">2021-07-16T12:48:00Z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0x010100AADD957860A20543AA0A39AE360AA826</vt:lpwstr>
  </property>
  <property fmtid="{D5CDD505-2E9C-101B-9397-08002B2CF9AE}" pid="3" name="Order">
    <vt:r8>47317000</vt:r8>
  </property>
</Properties>
</file>